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Протокол 01.09.2025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04.11.2025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 членов Совета ИВО:</w:t>
      </w:r>
    </w:p>
    <w:p w:rsidR="00000000" w:rsidDel="00000000" w:rsidP="00000000" w:rsidRDefault="00000000" w:rsidRPr="00000000" w14:paraId="00000005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БЖ, </w:t>
        <w:br w:type="textWrapping"/>
        <w:t xml:space="preserve">ГТ,</w:t>
        <w:br w:type="textWrapping"/>
        <w:t xml:space="preserve">СЛ,</w:t>
        <w:br w:type="textWrapping"/>
        <w:t xml:space="preserve">ПА,</w:t>
        <w:br w:type="textWrapping"/>
        <w:t xml:space="preserve">КР,</w:t>
        <w:br w:type="textWrapping"/>
        <w:t xml:space="preserve">ПН, </w:t>
        <w:br w:type="textWrapping"/>
        <w:t xml:space="preserve">ПЭ,</w:t>
        <w:br w:type="textWrapping"/>
        <w:t xml:space="preserve">ГА,</w:t>
        <w:br w:type="textWrapping"/>
        <w:t xml:space="preserve">НВ,</w:t>
        <w:br w:type="textWrapping"/>
        <w:t xml:space="preserve">ММ,</w:t>
        <w:br w:type="textWrapping"/>
        <w:t xml:space="preserve">БИ,</w:t>
        <w:br w:type="textWrapping"/>
        <w:t xml:space="preserve">ШН,</w:t>
        <w:br w:type="textWrapping"/>
        <w:t xml:space="preserve">КЛ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Эталонных Огней 448 ИВАС в росте Условий Огня каждого Аватара/Аватарессы синтезом деятельности Учителя Синтеза в росте профессии. Стяжание Синтеза Чаши эталонным Огнём Изначально Вышестоящего Отца синтезом явления 81 920 архетипов ИВДИВО (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76 Си ИВО 2025-08-23-24 Ставрополь Сердюк О., Практика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Изначально Вышестоящего Отца ИВДИВО-космической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 ГТ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Стяжание Политики Синтеза ИВО подразделения ИВДИВО Испании</w:t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 ПА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Сдано ИВАС Янову 04.11.2025</w:t>
        <w:br w:type="textWrapping"/>
        <w:t xml:space="preserve">Сдано ИВАС КутХуми 04.11.2025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+oxNPQhYwm4a8Qkjm0wiMmnEQ==">CgMxLjA4AHIhMVF5dzZ2M25YSnVyQU95enpaVHlUQW5GVEhBTFFwTzNX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